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360" w:lineRule="auto"/>
        <w:jc w:val="center"/>
        <w:outlineLvl w:val="0"/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第一标段采购内容及技术规格要求</w:t>
      </w:r>
    </w:p>
    <w:p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采购内容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</w:p>
    <w:p>
      <w:pPr>
        <w:numPr>
          <w:numId w:val="0"/>
        </w:numPr>
        <w:spacing w:line="360" w:lineRule="auto"/>
        <w:outlineLvl w:val="0"/>
        <w:rPr>
          <w:rFonts w:ascii="宋体" w:hAnsi="宋体"/>
          <w:b/>
          <w:color w:val="auto"/>
          <w:sz w:val="24"/>
          <w:szCs w:val="24"/>
        </w:rPr>
      </w:pPr>
      <w:bookmarkStart w:id="0" w:name="OLE_LINK8"/>
      <w:r>
        <w:rPr>
          <w:rFonts w:hint="eastAsia" w:ascii="宋体" w:hAnsi="宋体" w:cs="宋体"/>
          <w:sz w:val="24"/>
          <w:szCs w:val="24"/>
        </w:rPr>
        <w:t>大型洗扫</w:t>
      </w:r>
      <w:bookmarkStart w:id="5" w:name="_GoBack"/>
      <w:bookmarkEnd w:id="5"/>
      <w:r>
        <w:rPr>
          <w:rFonts w:hint="eastAsia" w:ascii="宋体" w:hAnsi="宋体" w:cs="宋体"/>
          <w:sz w:val="24"/>
          <w:szCs w:val="24"/>
        </w:rPr>
        <w:t>车</w:t>
      </w:r>
      <w:bookmarkEnd w:id="0"/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中型洗扫车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一批；</w:t>
      </w:r>
    </w:p>
    <w:p>
      <w:pPr>
        <w:pStyle w:val="2"/>
        <w:numPr>
          <w:ilvl w:val="0"/>
          <w:numId w:val="1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招标采购具体技术要求：</w:t>
      </w:r>
    </w:p>
    <w:p>
      <w:pPr>
        <w:pStyle w:val="2"/>
        <w:numPr>
          <w:ilvl w:val="0"/>
          <w:numId w:val="2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大型洗扫车</w:t>
      </w:r>
    </w:p>
    <w:p>
      <w:pPr>
        <w:pStyle w:val="2"/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（1）、基本参数要求：</w:t>
      </w:r>
    </w:p>
    <w:tbl>
      <w:tblPr>
        <w:tblStyle w:val="4"/>
        <w:tblW w:w="924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5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项 目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参  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DFL1160BX5（国Ⅳ）</w:t>
            </w:r>
            <w:r>
              <w:rPr>
                <w:rFonts w:hint="eastAsia" w:hAnsi="宋体"/>
                <w:szCs w:val="21"/>
              </w:rPr>
              <w:t>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底盘生产厂家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东风商用车有限公司底盘</w:t>
            </w:r>
            <w:r>
              <w:rPr>
                <w:rFonts w:hint="eastAsia" w:hAnsi="宋体"/>
                <w:szCs w:val="21"/>
              </w:rPr>
              <w:t>或同档次</w:t>
            </w:r>
            <w:r>
              <w:rPr>
                <w:rFonts w:hint="eastAsia" w:ascii="宋体" w:hAnsi="宋体" w:cs="宋体"/>
                <w:sz w:val="22"/>
                <w:szCs w:val="22"/>
              </w:rPr>
              <w:t>底盘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底盘发动机型号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ISDe210 40</w:t>
            </w:r>
            <w:r>
              <w:rPr>
                <w:rFonts w:hint="eastAsia" w:hAnsi="宋体"/>
                <w:szCs w:val="21"/>
              </w:rPr>
              <w:t>或同档次</w:t>
            </w:r>
            <w:r>
              <w:rPr>
                <w:rFonts w:hint="eastAsia" w:ascii="宋体" w:hAnsi="宋体" w:cs="宋体"/>
                <w:sz w:val="22"/>
                <w:szCs w:val="22"/>
              </w:rPr>
              <w:t>发动机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底盘发动机功率              (kw)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155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副发动机型号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QSB5.9-C160-30或同档次</w:t>
            </w:r>
            <w:r>
              <w:rPr>
                <w:rFonts w:hint="eastAsia" w:ascii="宋体" w:hAnsi="宋体" w:cs="宋体"/>
                <w:sz w:val="22"/>
                <w:szCs w:val="22"/>
              </w:rPr>
              <w:t>发动机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副发动机功率                (kw)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119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满载最大总质量              (kg)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16000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整备质量                    (kg)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11280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额定载质量                  (kg)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4525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最高车速                （km/h）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90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轴距                      （mm）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5000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驾驶室准乘人数            （人）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前悬/后悬                  （mm）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kern w:val="2"/>
                <w:sz w:val="22"/>
                <w:szCs w:val="22"/>
                <w:u w:val="none" w:color="auto"/>
              </w:rPr>
            </w:pPr>
            <w:r>
              <w:rPr>
                <w:rFonts w:hint="eastAsia" w:ascii="宋体" w:hAnsi="宋体" w:cs="宋体"/>
                <w:bCs/>
                <w:color w:val="auto"/>
                <w:kern w:val="2"/>
                <w:sz w:val="22"/>
                <w:szCs w:val="22"/>
                <w:u w:val="none" w:color="auto"/>
              </w:rPr>
              <w:t>1430/2325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接近角/离去角              （°）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kern w:val="2"/>
                <w:sz w:val="22"/>
                <w:szCs w:val="22"/>
                <w:u w:val="none" w:color="auto"/>
              </w:rPr>
            </w:pPr>
            <w:r>
              <w:rPr>
                <w:rFonts w:hint="eastAsia" w:ascii="宋体" w:hAnsi="宋体" w:cs="宋体"/>
                <w:bCs/>
                <w:color w:val="auto"/>
                <w:kern w:val="2"/>
                <w:sz w:val="22"/>
                <w:szCs w:val="22"/>
                <w:u w:val="none" w:color="auto"/>
              </w:rPr>
              <w:t>20/11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外形尺寸（长×宽×高）     (mm)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8755×2500×3115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高压水泵型号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KT40</w:t>
            </w:r>
            <w:r>
              <w:rPr>
                <w:rFonts w:hint="eastAsia" w:hAnsi="宋体"/>
                <w:szCs w:val="21"/>
              </w:rPr>
              <w:t>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高压水泵压力              (MPa)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高压水泵流量            (L/min)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142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作业宽度                    (m)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≥3.5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作业速度                 (km/h)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3～20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洒水泵型号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65QZB-50/110N</w:t>
            </w:r>
            <w:r>
              <w:rPr>
                <w:rFonts w:hint="eastAsia" w:hAnsi="宋体"/>
                <w:szCs w:val="21"/>
              </w:rPr>
              <w:t>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洒水泵产地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杭州威龙泵业有限公司或同档次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洒水泵扬程                  (m)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洒水泵流量                (m</w:t>
            </w:r>
            <w:r>
              <w:rPr>
                <w:rFonts w:hint="eastAsia" w:ascii="宋体" w:hAnsi="宋体" w:cs="宋体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宋体" w:hAnsi="宋体" w:cs="宋体"/>
                <w:sz w:val="22"/>
                <w:szCs w:val="22"/>
              </w:rPr>
              <w:t>/h)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50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  <w:vertAlign w:val="superscript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清水箱容积                  (L)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≥9000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垃圾箱容积                  (L)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-153" w:leftChars="-73" w:firstLine="154" w:firstLineChars="70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≥7000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驾驶室调温措施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配原厂冷暖空调</w:t>
            </w:r>
          </w:p>
        </w:tc>
      </w:tr>
    </w:tbl>
    <w:p>
      <w:pPr>
        <w:pStyle w:val="2"/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（2）、功能要求：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b/>
          <w:sz w:val="22"/>
          <w:szCs w:val="22"/>
        </w:rPr>
        <w:t>*</w:t>
      </w:r>
      <w:r>
        <w:rPr>
          <w:rFonts w:hint="eastAsia" w:hAnsi="宋体"/>
          <w:szCs w:val="21"/>
        </w:rPr>
        <w:t>要求垃圾箱外形采用上下双横梁、侧部大曲度的造型，箱体受力均匀，结构性能强，美观。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要求工作装置采用“中置两盘扫+中置宽吸嘴+内置高压主喷杆+左右高压侧喷杆”布置形式。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b/>
          <w:sz w:val="22"/>
          <w:szCs w:val="22"/>
        </w:rPr>
        <w:t>*</w:t>
      </w:r>
      <w:r>
        <w:rPr>
          <w:rFonts w:hint="eastAsia" w:hAnsi="宋体"/>
          <w:szCs w:val="21"/>
        </w:rPr>
        <w:t>要求采用中置两盘扫（扫盘可单独控制）+中置宽吸嘴+内置高压主喷杆+左右高压侧喷杆（左右高压侧喷管可独立控制）结构，使作业模式达到九种：①盘扫+吸嘴，具有全扫、左扫、右扫三种作业模式，实现路面的清扫及吸尘；②中置宽吸嘴+内置高压主喷杆+左右高压侧喷杆，具有全清洗、左清洗、右清洗三种作业模式，实现路面的清洗及吸尘；③中置两盘扫+中置宽吸嘴+内置高压主喷杆+左右高压侧喷杆，具有全洗扫、左洗扫、右洗扫三种作业模式，实现路面的洗扫及吸尘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采用左右侧喷杆V形布置和吸嘴内置主喷杆无间隙高压喷嘴喷水布置，有效的将清洗后的污水和垃圾全部归拢赶至吸嘴处，并吸收于污水垃圾箱内，使路面不留尘土、积水，路面清洗、刷扫和污水回收效果佳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要求采用污水排放装置，可对污水、淤泥进行有效分离并随时根据垃圾箱内污水情况将污水单独排放，有效延长洗扫车连续作业时间，大大提高了作业效率。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bookmarkStart w:id="1" w:name="OLE_LINK23"/>
      <w:r>
        <w:rPr>
          <w:rFonts w:hint="eastAsia" w:hAnsi="宋体" w:cs="宋体"/>
          <w:b/>
          <w:sz w:val="22"/>
          <w:szCs w:val="22"/>
        </w:rPr>
        <w:t>*</w:t>
      </w:r>
      <w:bookmarkEnd w:id="1"/>
      <w:r>
        <w:rPr>
          <w:rFonts w:hint="eastAsia" w:hAnsi="宋体"/>
          <w:szCs w:val="21"/>
        </w:rPr>
        <w:t>要求采用清水罐和垃圾箱分体布置，有效空间利用最大化，一次连续作业时间长。同时在作业过程中可通过排污管进行污水的排放，随时加清水继续作业；垃圾箱采用双油缸自卸卸料，箱内同时设有两个大流量低压喷嘴，可快速冲洗垃圾箱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b/>
          <w:sz w:val="22"/>
          <w:szCs w:val="22"/>
        </w:rPr>
        <w:t>*</w:t>
      </w:r>
      <w:r>
        <w:rPr>
          <w:rFonts w:hint="eastAsia" w:hAnsi="宋体"/>
          <w:szCs w:val="21"/>
        </w:rPr>
        <w:t>要求具有液压缓冲式扫刷地距自动调节技术，使扫刷与地面的接触力保持在一个固定值，扫刷与地面接触面保持不变，扫刷磨损后可以自动补偿，不需进行人工调整，确保清扫效率不受影响。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bookmarkStart w:id="2" w:name="OLE_LINK24"/>
      <w:r>
        <w:rPr>
          <w:rFonts w:hint="eastAsia" w:hAnsi="宋体" w:cs="宋体"/>
          <w:b/>
          <w:sz w:val="22"/>
          <w:szCs w:val="22"/>
        </w:rPr>
        <w:t>*</w:t>
      </w:r>
      <w:bookmarkEnd w:id="2"/>
      <w:r>
        <w:rPr>
          <w:rFonts w:hint="eastAsia" w:hAnsi="宋体"/>
          <w:szCs w:val="21"/>
        </w:rPr>
        <w:t>要求清水箱及垃圾箱采用SUS304整体不锈钢制作，永不锈蚀。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要求配备低压水系统，具有左右侧冲装置</w:t>
      </w:r>
      <w:r>
        <w:rPr>
          <w:rFonts w:hAnsi="宋体"/>
          <w:szCs w:val="21"/>
        </w:rPr>
        <w:t>，可一次冲洗六条车道</w:t>
      </w:r>
      <w:r>
        <w:rPr>
          <w:rFonts w:hint="eastAsia" w:hAnsi="宋体"/>
          <w:szCs w:val="21"/>
        </w:rPr>
        <w:t>，喷嘴可上下调整。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要求具有多种安全报警装置：</w:t>
      </w:r>
      <w:r>
        <w:rPr>
          <w:rFonts w:hAnsi="宋体"/>
          <w:szCs w:val="21"/>
        </w:rPr>
        <w:t>清水箱低水位</w:t>
      </w:r>
      <w:r>
        <w:rPr>
          <w:rFonts w:hint="eastAsia" w:hAnsi="宋体"/>
          <w:szCs w:val="21"/>
        </w:rPr>
        <w:t>，污水垃圾箱高水位，液压油泄漏，</w:t>
      </w:r>
      <w:r>
        <w:rPr>
          <w:rFonts w:hAnsi="宋体"/>
          <w:szCs w:val="21"/>
        </w:rPr>
        <w:t>作业提示</w:t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t>副发动机</w:t>
      </w:r>
      <w:r>
        <w:rPr>
          <w:rFonts w:hint="eastAsia" w:hAnsi="宋体"/>
          <w:szCs w:val="21"/>
        </w:rPr>
        <w:t>水温、</w:t>
      </w:r>
      <w:r>
        <w:rPr>
          <w:rFonts w:hAnsi="宋体"/>
          <w:szCs w:val="21"/>
        </w:rPr>
        <w:t>机油压力</w:t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t>倒车提示</w:t>
      </w:r>
      <w:r>
        <w:rPr>
          <w:rFonts w:hint="eastAsia" w:hAnsi="宋体"/>
          <w:szCs w:val="21"/>
        </w:rPr>
        <w:t>等。（可选装垃圾箱倾翻、复位，后门开闭安全报警装置）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要求左右扫盘具有避障保护及复位功能，左右高压侧喷杆具有双向自动避障保护及复位功能。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b/>
          <w:sz w:val="22"/>
          <w:szCs w:val="22"/>
        </w:rPr>
        <w:t>*</w:t>
      </w:r>
      <w:r>
        <w:rPr>
          <w:rFonts w:hint="eastAsia" w:hAnsi="宋体"/>
          <w:szCs w:val="21"/>
        </w:rPr>
        <w:t>要求采用中置宽吸嘴具有液压浮动功能，有效的延长橡胶滚轮的寿命。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b/>
          <w:sz w:val="22"/>
          <w:szCs w:val="22"/>
        </w:rPr>
        <w:t>*</w:t>
      </w:r>
      <w:r>
        <w:rPr>
          <w:rFonts w:hint="eastAsia" w:hAnsi="宋体"/>
          <w:szCs w:val="21"/>
        </w:rPr>
        <w:t>要求具有高压水泵分离与结合采用气动离合器，工作时接合柔和及使用寿命长。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 w:cs="宋体"/>
          <w:b/>
          <w:sz w:val="22"/>
          <w:szCs w:val="22"/>
        </w:rPr>
        <w:t>*</w:t>
      </w:r>
      <w:r>
        <w:rPr>
          <w:rFonts w:hint="eastAsia" w:hAnsi="宋体"/>
          <w:szCs w:val="21"/>
        </w:rPr>
        <w:t>要求具有气力净管防冻装置，可有效保证喷水部件不因结冰而造成结构性损坏。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要求具有环卫车道路刷洗装置，采用盘扫清扫路面上的尘土、积垢，高压水幕对路面进行清洗，清洗后的污水和尘土垃圾汇集于吸嘴处，通过负压抽吸至垃圾箱内，使路面清洁。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要求具有环卫车路面及路肩石刷洗装置，能利用加厚的立扫盘对路缘石的立面和侧面进行喷水刷洗，同时扫除路缘的沙土垃圾。</w:t>
      </w:r>
    </w:p>
    <w:p>
      <w:pPr>
        <w:pStyle w:val="2"/>
        <w:numPr>
          <w:ilvl w:val="0"/>
          <w:numId w:val="3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</w:t>
      </w:r>
      <w:r>
        <w:rPr>
          <w:rFonts w:hAnsi="宋体"/>
          <w:szCs w:val="21"/>
        </w:rPr>
        <w:t>采用PLC编程</w:t>
      </w:r>
      <w:r>
        <w:rPr>
          <w:rFonts w:hint="eastAsia" w:hAnsi="宋体"/>
          <w:szCs w:val="21"/>
        </w:rPr>
        <w:t>、</w:t>
      </w:r>
      <w:r>
        <w:rPr>
          <w:rFonts w:hAnsi="宋体"/>
          <w:szCs w:val="21"/>
        </w:rPr>
        <w:t>智能化控制系统</w:t>
      </w:r>
      <w:r>
        <w:rPr>
          <w:rFonts w:hint="eastAsia" w:hAnsi="宋体"/>
          <w:szCs w:val="21"/>
        </w:rPr>
        <w:t>，电、液、气集中控制，</w:t>
      </w:r>
      <w:r>
        <w:rPr>
          <w:rFonts w:hAnsi="宋体"/>
          <w:szCs w:val="21"/>
        </w:rPr>
        <w:t>驾驶员可在驾驶室内完成各种动作的操作。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中型洗扫车</w:t>
      </w:r>
    </w:p>
    <w:p>
      <w:pPr>
        <w:pStyle w:val="2"/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（1）基本参数要求：</w:t>
      </w:r>
    </w:p>
    <w:tbl>
      <w:tblPr>
        <w:tblStyle w:val="4"/>
        <w:tblW w:w="924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5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项  目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规  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QL11009LARY(国Ⅳ排放)</w:t>
            </w:r>
            <w:r>
              <w:rPr>
                <w:rFonts w:hint="eastAsia" w:hAnsi="宋体"/>
                <w:szCs w:val="21"/>
              </w:rPr>
              <w:t xml:space="preserve"> 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底盘生产厂家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庆铃汽车股份有限公司底盘</w:t>
            </w:r>
            <w:r>
              <w:rPr>
                <w:rFonts w:hint="eastAsia" w:hAnsi="宋体"/>
                <w:szCs w:val="21"/>
              </w:rPr>
              <w:t>或同档次</w:t>
            </w:r>
            <w:r>
              <w:rPr>
                <w:rFonts w:hint="eastAsia" w:ascii="宋体" w:hAnsi="宋体" w:cs="宋体"/>
                <w:sz w:val="22"/>
                <w:szCs w:val="22"/>
              </w:rPr>
              <w:t>底盘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底盘发动机型号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4HK1-TCG40</w:t>
            </w:r>
            <w:r>
              <w:rPr>
                <w:rFonts w:hint="eastAsia" w:hAnsi="宋体"/>
                <w:szCs w:val="21"/>
              </w:rPr>
              <w:t>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底盘发动机功率             （kw）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139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bookmarkStart w:id="3" w:name="OLE_LINK9"/>
            <w:r>
              <w:rPr>
                <w:rFonts w:hint="eastAsia" w:ascii="宋体" w:hAnsi="宋体" w:cs="宋体"/>
                <w:b/>
                <w:sz w:val="22"/>
                <w:szCs w:val="22"/>
              </w:rPr>
              <w:t>*</w:t>
            </w:r>
            <w:bookmarkEnd w:id="3"/>
            <w:r>
              <w:rPr>
                <w:rFonts w:hint="eastAsia" w:ascii="宋体" w:hAnsi="宋体" w:cs="宋体"/>
                <w:sz w:val="22"/>
                <w:szCs w:val="22"/>
              </w:rPr>
              <w:t>副发动机型号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 xml:space="preserve"> JX493ZG3或同档次发动机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*</w:t>
            </w:r>
            <w:r>
              <w:rPr>
                <w:rFonts w:hint="eastAsia" w:ascii="宋体" w:hAnsi="宋体" w:cs="宋体"/>
                <w:sz w:val="22"/>
                <w:szCs w:val="22"/>
              </w:rPr>
              <w:t>副发动机功率             （kw）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64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满载最大总质量             （kg）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10055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整备质量                   （kg） 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6780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额定载质量                 （kg）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3145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最高车速                 （km/h）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轴距                       （mm）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4175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驾驶室准乘人数             （人）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前悬/后悬                  （mm）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5"/>
              <w:spacing w:line="360" w:lineRule="auto"/>
              <w:ind w:firstLine="0" w:firstLineChars="0"/>
              <w:jc w:val="center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1110/1735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hint="eastAsia"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接近角/离去角              （°）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5"/>
              <w:spacing w:line="360" w:lineRule="auto"/>
              <w:ind w:firstLine="0" w:firstLineChars="0"/>
              <w:jc w:val="center"/>
              <w:rPr>
                <w:rFonts w:hAnsi="宋体" w:cs="宋体"/>
                <w:bCs/>
                <w:kern w:val="2"/>
                <w:sz w:val="22"/>
              </w:rPr>
            </w:pPr>
            <w:r>
              <w:rPr>
                <w:rFonts w:hint="eastAsia" w:hAnsi="宋体" w:cs="宋体"/>
                <w:bCs/>
                <w:kern w:val="2"/>
                <w:sz w:val="22"/>
              </w:rPr>
              <w:t>21/10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外形尺寸（长×宽×高）      (mm)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7020×2340×2570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高压水泵型号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NX-C75/150（意大利）</w:t>
            </w:r>
            <w:r>
              <w:rPr>
                <w:rFonts w:hint="eastAsia" w:hAnsi="宋体"/>
                <w:szCs w:val="21"/>
              </w:rPr>
              <w:t>或同档次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高压水泵压力               (Mpa)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15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高压水泵流量             (L/min)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hAnsi="宋体"/>
                <w:szCs w:val="21"/>
              </w:rPr>
              <w:t>≥</w:t>
            </w:r>
            <w:r>
              <w:rPr>
                <w:rFonts w:hint="eastAsia" w:ascii="宋体" w:hAnsi="宋体" w:cs="宋体"/>
                <w:sz w:val="22"/>
                <w:szCs w:val="22"/>
              </w:rPr>
              <w:t>75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清扫宽度                    （m）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≥3.2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清洗宽度                    （m）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≥3.3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作业速度                  (km/h)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3～20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清水箱容积                   (L）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≥6000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垃圾箱容积                   (L)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≥3000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喷水管系统结构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左右两段短折臂具有自动避障功能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驾驶室调温措施</w:t>
            </w:r>
          </w:p>
        </w:tc>
        <w:tc>
          <w:tcPr>
            <w:tcW w:w="4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配原厂冷暖空调</w:t>
            </w:r>
          </w:p>
        </w:tc>
      </w:tr>
    </w:tbl>
    <w:p>
      <w:pPr>
        <w:pStyle w:val="2"/>
        <w:spacing w:line="360" w:lineRule="auto"/>
        <w:jc w:val="left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（2）功能要求：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要求高压水泵独立控制，可随时进行扫路作业或清洗作业功能的切换，集扫路车和清洗车于一体，一车多用，实现四季可用。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*要求整车采用“中置四盘扫+中置V型喷水架+吸嘴结构”配置，具有多种作业模式，实现路面的清扫、清洗、洗扫及吸尘。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*要求采用V型喷管和半环绕吸嘴无间隙高压喷嘴布置，有效的将清洗后的污水和垃圾全部归拢赶至吸嘴处，并吸收于污水垃圾箱内，使路面不留尘土、积水，路面清洗、刷扫和污水回收效果佳。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*要求采用污水阀排放装置，可对污水、淤泥进行有效分离并随时根据垃圾箱内污水情况将污水单独排放，有效延长清洗扫路车连续作业时间，提高作业效率。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*要求喷水架左右两段具有自动避障功能。具有多种安全报警装置：清水箱低水位，污水垃圾箱高水位，作业提示，副发动机水温、机油压力，倒车提示等。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bookmarkStart w:id="4" w:name="OLE_LINK25"/>
      <w:r>
        <w:rPr>
          <w:rFonts w:hint="eastAsia" w:hAnsi="宋体"/>
          <w:szCs w:val="21"/>
        </w:rPr>
        <w:t>*</w:t>
      </w:r>
      <w:bookmarkEnd w:id="4"/>
      <w:r>
        <w:rPr>
          <w:rFonts w:hint="eastAsia" w:hAnsi="宋体"/>
          <w:szCs w:val="21"/>
        </w:rPr>
        <w:t>要求清水罐和污水垃圾箱独立分布，有效空间利用最大化，一次连续作业时间长。同时在作业过程中可通过排污管进行污水的排放，随时加清水继续作业；垃圾箱内同时设有多个大流量高压喷嘴，可快速冲洗垃圾箱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要求扫刷触地压力由液压自动控制，避免车辆在作业过程中因路面变化而出现的扫刷触地不均匀的状况；扫刷磨损后，无需人工调整。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*要求清水箱及污水垃圾箱采用单层整体不锈钢制作，不锈蚀。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要求在常规清扫作业时，除利用低压系统喷洒少量清水压尘外，还利用大容量的清水通过自吸增强压尘。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要求配备高压清洗枪，除对车身自清洁外，还能清洗小广告，路牌等。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*要求具有气力净管防冻装置，可有效保证喷水部件不因结冰而造成结构性损坏； 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要求具有环卫车道路刷洗装置，采用盘扫清扫路面上的尘土、积垢，高压水幕对路面进行清洗，清洗后的污水和尘土垃圾汇集于吸嘴处，通过负压抽吸至垃圾箱内，使路面清洁。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要求具有环卫车路面及路肩石刷洗装置，此装置是利用加厚的立扫盘对路缘石的立面和侧面进行喷水刷洗，同时扫除路缘的沙土垃圾。</w:t>
      </w:r>
    </w:p>
    <w:p>
      <w:pPr>
        <w:pStyle w:val="2"/>
        <w:numPr>
          <w:ilvl w:val="0"/>
          <w:numId w:val="5"/>
        </w:numPr>
        <w:spacing w:line="360" w:lineRule="auto"/>
        <w:ind w:left="0" w:firstLine="426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采用PLC编程、智能化控制系统，在驾驶室内即可实现所有动作的执行。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FFC3"/>
    <w:multiLevelType w:val="singleLevel"/>
    <w:tmpl w:val="5744FFC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709D01"/>
    <w:multiLevelType w:val="singleLevel"/>
    <w:tmpl w:val="57709D0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E57732A"/>
    <w:multiLevelType w:val="multilevel"/>
    <w:tmpl w:val="5E57732A"/>
    <w:lvl w:ilvl="0" w:tentative="0">
      <w:start w:val="1"/>
      <w:numFmt w:val="decimal"/>
      <w:suff w:val="nothing"/>
      <w:lvlText w:val="（%1）、"/>
      <w:lvlJc w:val="left"/>
      <w:pPr>
        <w:ind w:left="1413" w:hanging="420"/>
      </w:pPr>
      <w:rPr>
        <w:rFonts w:hint="eastAsia"/>
        <w:lang w:val="en-US"/>
      </w:rPr>
    </w:lvl>
    <w:lvl w:ilvl="1" w:tentative="0">
      <w:start w:val="1"/>
      <w:numFmt w:val="lowerLetter"/>
      <w:lvlText w:val="%2)"/>
      <w:lvlJc w:val="left"/>
      <w:pPr>
        <w:ind w:left="1833" w:hanging="420"/>
      </w:pPr>
    </w:lvl>
    <w:lvl w:ilvl="2" w:tentative="0">
      <w:start w:val="1"/>
      <w:numFmt w:val="lowerRoman"/>
      <w:lvlText w:val="%3."/>
      <w:lvlJc w:val="right"/>
      <w:pPr>
        <w:ind w:left="2253" w:hanging="420"/>
      </w:pPr>
    </w:lvl>
    <w:lvl w:ilvl="3" w:tentative="0">
      <w:start w:val="1"/>
      <w:numFmt w:val="decimal"/>
      <w:lvlText w:val="%4."/>
      <w:lvlJc w:val="left"/>
      <w:pPr>
        <w:ind w:left="2673" w:hanging="420"/>
      </w:pPr>
    </w:lvl>
    <w:lvl w:ilvl="4" w:tentative="0">
      <w:start w:val="1"/>
      <w:numFmt w:val="lowerLetter"/>
      <w:lvlText w:val="%5)"/>
      <w:lvlJc w:val="left"/>
      <w:pPr>
        <w:ind w:left="3093" w:hanging="420"/>
      </w:pPr>
    </w:lvl>
    <w:lvl w:ilvl="5" w:tentative="0">
      <w:start w:val="1"/>
      <w:numFmt w:val="lowerRoman"/>
      <w:lvlText w:val="%6."/>
      <w:lvlJc w:val="right"/>
      <w:pPr>
        <w:ind w:left="3513" w:hanging="420"/>
      </w:pPr>
    </w:lvl>
    <w:lvl w:ilvl="6" w:tentative="0">
      <w:start w:val="1"/>
      <w:numFmt w:val="decimal"/>
      <w:lvlText w:val="%7."/>
      <w:lvlJc w:val="left"/>
      <w:pPr>
        <w:ind w:left="3933" w:hanging="420"/>
      </w:pPr>
    </w:lvl>
    <w:lvl w:ilvl="7" w:tentative="0">
      <w:start w:val="1"/>
      <w:numFmt w:val="lowerLetter"/>
      <w:lvlText w:val="%8)"/>
      <w:lvlJc w:val="left"/>
      <w:pPr>
        <w:ind w:left="4353" w:hanging="420"/>
      </w:pPr>
    </w:lvl>
    <w:lvl w:ilvl="8" w:tentative="0">
      <w:start w:val="1"/>
      <w:numFmt w:val="lowerRoman"/>
      <w:lvlText w:val="%9."/>
      <w:lvlJc w:val="right"/>
      <w:pPr>
        <w:ind w:left="4773" w:hanging="420"/>
      </w:pPr>
    </w:lvl>
  </w:abstractNum>
  <w:abstractNum w:abstractNumId="3">
    <w:nsid w:val="76D06C84"/>
    <w:multiLevelType w:val="multilevel"/>
    <w:tmpl w:val="76D06C84"/>
    <w:lvl w:ilvl="0" w:tentative="0">
      <w:start w:val="1"/>
      <w:numFmt w:val="decimal"/>
      <w:suff w:val="nothing"/>
      <w:lvlText w:val="（%1）、"/>
      <w:lvlJc w:val="left"/>
      <w:pPr>
        <w:ind w:left="1413" w:hanging="420"/>
      </w:pPr>
      <w:rPr>
        <w:rFonts w:hint="eastAsia"/>
        <w:lang w:val="en-US"/>
      </w:rPr>
    </w:lvl>
    <w:lvl w:ilvl="1" w:tentative="0">
      <w:start w:val="1"/>
      <w:numFmt w:val="lowerLetter"/>
      <w:lvlText w:val="%2)"/>
      <w:lvlJc w:val="left"/>
      <w:pPr>
        <w:ind w:left="1833" w:hanging="420"/>
      </w:pPr>
    </w:lvl>
    <w:lvl w:ilvl="2" w:tentative="0">
      <w:start w:val="1"/>
      <w:numFmt w:val="lowerRoman"/>
      <w:lvlText w:val="%3."/>
      <w:lvlJc w:val="right"/>
      <w:pPr>
        <w:ind w:left="2253" w:hanging="420"/>
      </w:pPr>
    </w:lvl>
    <w:lvl w:ilvl="3" w:tentative="0">
      <w:start w:val="1"/>
      <w:numFmt w:val="decimal"/>
      <w:lvlText w:val="%4."/>
      <w:lvlJc w:val="left"/>
      <w:pPr>
        <w:ind w:left="2673" w:hanging="420"/>
      </w:pPr>
    </w:lvl>
    <w:lvl w:ilvl="4" w:tentative="0">
      <w:start w:val="1"/>
      <w:numFmt w:val="lowerLetter"/>
      <w:lvlText w:val="%5)"/>
      <w:lvlJc w:val="left"/>
      <w:pPr>
        <w:ind w:left="3093" w:hanging="420"/>
      </w:pPr>
    </w:lvl>
    <w:lvl w:ilvl="5" w:tentative="0">
      <w:start w:val="1"/>
      <w:numFmt w:val="lowerRoman"/>
      <w:lvlText w:val="%6."/>
      <w:lvlJc w:val="right"/>
      <w:pPr>
        <w:ind w:left="3513" w:hanging="420"/>
      </w:pPr>
    </w:lvl>
    <w:lvl w:ilvl="6" w:tentative="0">
      <w:start w:val="1"/>
      <w:numFmt w:val="decimal"/>
      <w:lvlText w:val="%7."/>
      <w:lvlJc w:val="left"/>
      <w:pPr>
        <w:ind w:left="3933" w:hanging="420"/>
      </w:pPr>
    </w:lvl>
    <w:lvl w:ilvl="7" w:tentative="0">
      <w:start w:val="1"/>
      <w:numFmt w:val="lowerLetter"/>
      <w:lvlText w:val="%8)"/>
      <w:lvlJc w:val="left"/>
      <w:pPr>
        <w:ind w:left="4353" w:hanging="420"/>
      </w:pPr>
    </w:lvl>
    <w:lvl w:ilvl="8" w:tentative="0">
      <w:start w:val="1"/>
      <w:numFmt w:val="lowerRoman"/>
      <w:lvlText w:val="%9."/>
      <w:lvlJc w:val="right"/>
      <w:pPr>
        <w:ind w:left="4773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93B33"/>
    <w:rsid w:val="2EA93B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</w:pPr>
    <w:rPr>
      <w:color w:val="000000"/>
      <w:sz w:val="21"/>
      <w:szCs w:val="22"/>
      <w:u w:val="none" w:color="00000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line="240" w:lineRule="auto"/>
    </w:pPr>
    <w:rPr>
      <w:rFonts w:ascii="宋体" w:hAnsi="Courier New"/>
      <w:color w:val="auto"/>
      <w:kern w:val="2"/>
    </w:rPr>
  </w:style>
  <w:style w:type="paragraph" w:customStyle="1" w:styleId="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2016-07-11T03:29:00Z</dcterms:created>
  <dc:creator>Administrator</dc:creator>
  <cp:lastModifiedBy>Administrator</cp:lastModifiedBy>
  <dcterms:modified xsi:type="dcterms:W3CDTF">2016-07-11T03:37:03Z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2052-10.1.0.5843</vt:lpwstr>
  </property>
</Properties>
</file>