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方正小标宋_GBK" w:cs="方正小标宋_GBK" w:eastAsia="方正小标宋_GBK" w:hAnsi="方正小标宋_GBK" w:hint="eastAsia"/>
          <w:sz w:val="36"/>
          <w:szCs w:val="36"/>
          <w:highlight w:val="none"/>
          <w:lang w:val="en-US" w:eastAsia="zh-CN"/>
        </w:rPr>
      </w:pPr>
      <w:r>
        <w:rPr>
          <w:rFonts w:ascii="方正小标宋_GBK" w:cs="方正小标宋_GBK" w:eastAsia="方正小标宋_GBK" w:hAnsi="方正小标宋_GBK" w:hint="eastAsia"/>
          <w:sz w:val="36"/>
          <w:szCs w:val="36"/>
          <w:highlight w:val="none"/>
          <w:lang w:val="en-US" w:eastAsia="zh-CN"/>
        </w:rPr>
        <w:t>方城县产业集聚区创业园项目电梯改造工程招标计划</w:t>
      </w:r>
    </w:p>
    <w:p>
      <w:pPr>
        <w:pStyle w:val="style0"/>
        <w:jc w:val="center"/>
        <w:rPr>
          <w:rFonts w:ascii="方正小标宋_GBK" w:cs="方正小标宋_GBK" w:eastAsia="方正小标宋_GBK" w:hAnsi="方正小标宋_GBK" w:hint="eastAsia"/>
          <w:sz w:val="36"/>
          <w:szCs w:val="36"/>
          <w:lang w:val="en-US" w:eastAsia="zh-CN"/>
        </w:rPr>
      </w:pPr>
    </w:p>
    <w:p>
      <w:pPr>
        <w:pStyle w:val="style0"/>
        <w:ind w:firstLine="560" w:firstLineChars="200"/>
        <w:jc w:val="both"/>
        <w:rPr>
          <w:rFonts w:ascii="仿宋_GB2312" w:cs="仿宋_GB2312" w:eastAsia="仿宋_GB2312" w:hAnsi="仿宋_GB2312" w:hint="eastAsia"/>
          <w:sz w:val="28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sz w:val="28"/>
          <w:szCs w:val="28"/>
          <w:lang w:val="en-US" w:eastAsia="zh-CN"/>
        </w:rPr>
        <w:t>为便于潜在投标人及时了解招标信息，现将(南阳弘裕投资控股有限公司)的招标计划发布如下：</w:t>
      </w:r>
    </w:p>
    <w:tbl>
      <w:tblPr>
        <w:tblStyle w:val="style154"/>
        <w:tblW w:w="1404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rPr/>
        <w:tc>
          <w:tcPr>
            <w:tcW w:w="642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/>
        <w:trPr>
          <w:trHeight w:val="2975" w:hRule="atLeast"/>
        </w:trPr>
        <w:tc>
          <w:tcPr>
            <w:tcW w:w="642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方城县产业集聚区创业园项目电梯改造工程</w:t>
            </w:r>
          </w:p>
        </w:tc>
        <w:tc>
          <w:tcPr>
            <w:tcW w:w="1268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南阳弘裕投资控股有限公司</w:t>
            </w:r>
          </w:p>
        </w:tc>
        <w:tc>
          <w:tcPr>
            <w:tcW w:w="3014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项目位于方城县产业集聚区，承包范围：10台垂直梯的采购安装及相应的服务</w:t>
            </w:r>
          </w:p>
        </w:tc>
        <w:tc>
          <w:tcPr>
            <w:tcW w:w="1091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约300万元</w:t>
            </w:r>
          </w:p>
        </w:tc>
        <w:tc>
          <w:tcPr>
            <w:tcW w:w="1105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约90历天</w:t>
            </w:r>
          </w:p>
        </w:tc>
        <w:tc>
          <w:tcPr>
            <w:tcW w:w="1173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2023年  5月</w:t>
            </w:r>
          </w:p>
        </w:tc>
        <w:tc>
          <w:tcPr>
            <w:tcW w:w="1159" w:type="dxa"/>
            <w:tcBorders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1"/>
                <w:szCs w:val="21"/>
                <w:vertAlign w:val="baseline"/>
                <w:lang w:val="en-US" w:eastAsia="zh-CN"/>
              </w:rPr>
              <w:t>张小姐13603775889</w:t>
            </w:r>
            <w:bookmarkStart w:id="0" w:name="_GoBack"/>
            <w:bookmarkEnd w:id="0"/>
          </w:p>
        </w:tc>
      </w:tr>
    </w:tbl>
    <w:p>
      <w:pPr>
        <w:pStyle w:val="style0"/>
        <w:ind w:firstLine="560" w:firstLineChars="200"/>
        <w:jc w:val="both"/>
        <w:rPr>
          <w:rFonts w:ascii="仿宋_GB2312" w:cs="仿宋_GB2312" w:eastAsia="仿宋_GB2312" w:hAnsi="仿宋_GB2312" w:hint="eastAsia"/>
          <w:sz w:val="28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pStyle w:val="style0"/>
        <w:wordWrap w:val="false"/>
        <w:ind w:firstLine="2240" w:firstLineChars="800"/>
        <w:jc w:val="right"/>
        <w:rPr>
          <w:rFonts w:ascii="仿宋_GB2312" w:cs="仿宋_GB2312" w:eastAsia="仿宋_GB2312" w:hAnsi="仿宋_GB2312" w:hint="default"/>
          <w:sz w:val="28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sz w:val="28"/>
          <w:szCs w:val="28"/>
          <w:lang w:val="en-US" w:eastAsia="zh-CN"/>
        </w:rPr>
        <w:t xml:space="preserve">招标人（加盖电子印章)：  </w:t>
      </w:r>
    </w:p>
    <w:p>
      <w:pPr>
        <w:pStyle w:val="style0"/>
        <w:wordWrap w:val="false"/>
        <w:ind w:firstLine="4760" w:firstLineChars="1700"/>
        <w:jc w:val="right"/>
        <w:rPr>
          <w:rFonts w:ascii="仿宋_GB2312" w:cs="仿宋_GB2312" w:eastAsia="仿宋_GB2312" w:hAnsi="仿宋_GB2312" w:hint="default"/>
          <w:sz w:val="28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sz w:val="28"/>
          <w:szCs w:val="28"/>
          <w:lang w:val="en-US" w:eastAsia="zh-CN"/>
        </w:rPr>
        <w:t>2023年4月</w:t>
      </w:r>
      <w:r>
        <w:rPr>
          <w:rFonts w:ascii="仿宋_GB2312" w:cs="仿宋_GB2312" w:eastAsia="仿宋_GB2312" w:hAnsi="仿宋_GB2312" w:hint="default"/>
          <w:sz w:val="28"/>
          <w:szCs w:val="28"/>
          <w:lang w:val="en-US" w:eastAsia="zh-CN"/>
        </w:rPr>
        <w:t>10</w:t>
      </w:r>
      <w:r>
        <w:rPr>
          <w:rFonts w:ascii="仿宋_GB2312" w:cs="仿宋_GB2312" w:eastAsia="仿宋_GB2312" w:hAnsi="仿宋_GB2312" w:hint="eastAsia"/>
          <w:sz w:val="28"/>
          <w:szCs w:val="28"/>
          <w:lang w:val="en-US" w:eastAsia="zh-CN"/>
        </w:rPr>
        <w:t xml:space="preserve">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Words>299</Words>
  <Pages>1</Pages>
  <Characters>320</Characters>
  <Application>WPS Office</Application>
  <DocSecurity>0</DocSecurity>
  <Paragraphs>30</Paragraphs>
  <ScaleCrop>false</ScaleCrop>
  <LinksUpToDate>false</LinksUpToDate>
  <CharactersWithSpaces>330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2022-08-08T02:01:00Z</dcterms:created>
  <dc:creator>拒绝平庸</dc:creator>
  <lastModifiedBy>ANP-AN00</lastModifiedBy>
  <lastPrinted>2023-04-07T00:58:00Z</lastPrinted>
  <dcterms:modified xsi:type="dcterms:W3CDTF">2023-04-10T01:11:49Z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FE39529EC4B549909763E8A945C6C783</vt:lpwstr>
  </property>
</Properties>
</file>