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7"/>
        <w:ind w:left="5389" w:right="699" w:hanging="4340"/>
        <w:outlineLvl w:val="0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spacing w:val="32"/>
          <w:sz w:val="36"/>
          <w:szCs w:val="36"/>
          <w:u w:val="single" w:color="auto"/>
        </w:rPr>
        <w:t>南水北调中线工程水源地(南阳片区-</w:t>
      </w:r>
      <w:r>
        <w:rPr>
          <w:rFonts w:hint="eastAsia" w:ascii="黑体" w:hAnsi="黑体" w:eastAsia="黑体" w:cs="黑体"/>
          <w:spacing w:val="32"/>
          <w:sz w:val="36"/>
          <w:szCs w:val="36"/>
          <w:u w:val="single" w:color="auto"/>
          <w:lang w:val="en-US" w:eastAsia="zh-CN"/>
        </w:rPr>
        <w:t>方城县</w:t>
      </w:r>
      <w:r>
        <w:rPr>
          <w:rFonts w:ascii="黑体" w:hAnsi="黑体" w:eastAsia="黑体" w:cs="黑体"/>
          <w:spacing w:val="32"/>
          <w:sz w:val="36"/>
          <w:szCs w:val="36"/>
          <w:u w:val="single" w:color="auto"/>
        </w:rPr>
        <w:t>)历史遗留废弃矿山生态修复</w:t>
      </w:r>
      <w:r>
        <w:rPr>
          <w:rFonts w:ascii="黑体" w:hAnsi="黑体" w:eastAsia="黑体" w:cs="黑体"/>
          <w:spacing w:val="18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20"/>
          <w:sz w:val="36"/>
          <w:szCs w:val="36"/>
          <w:u w:val="single" w:color="auto"/>
        </w:rPr>
        <w:t>示范工程项目</w:t>
      </w:r>
      <w:r>
        <w:rPr>
          <w:rFonts w:ascii="黑体" w:hAnsi="黑体" w:eastAsia="黑体" w:cs="黑体"/>
          <w:spacing w:val="20"/>
          <w:sz w:val="36"/>
          <w:szCs w:val="36"/>
          <w:u w:val="single"/>
        </w:rPr>
        <w:t>招标计划</w:t>
      </w: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969" w:right="598" w:firstLine="44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26"/>
          <w:sz w:val="24"/>
          <w:szCs w:val="24"/>
        </w:rPr>
        <w:t>为便于潜在投标人及时了解招标信息，现将南水北调中线工程水源地(南阳片区-邓州市)历史遗留废弃矿</w:t>
      </w:r>
      <w:r>
        <w:rPr>
          <w:rFonts w:hint="eastAsia"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5"/>
          <w:szCs w:val="25"/>
        </w:rPr>
        <w:t>山生态修复示范工程项目招标计划发布如下：</w:t>
      </w:r>
    </w:p>
    <w:p>
      <w:pPr>
        <w:spacing w:line="29" w:lineRule="exact"/>
      </w:pPr>
    </w:p>
    <w:tbl>
      <w:tblPr>
        <w:tblStyle w:val="5"/>
        <w:tblW w:w="13790" w:type="dxa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238"/>
        <w:gridCol w:w="1169"/>
        <w:gridCol w:w="2288"/>
        <w:gridCol w:w="1109"/>
        <w:gridCol w:w="1209"/>
        <w:gridCol w:w="560"/>
        <w:gridCol w:w="570"/>
        <w:gridCol w:w="859"/>
        <w:gridCol w:w="1579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575" w:type="dxa"/>
            <w:textDirection w:val="tbRlV"/>
            <w:vAlign w:val="top"/>
          </w:tcPr>
          <w:p>
            <w:pPr>
              <w:pStyle w:val="6"/>
              <w:spacing w:before="160" w:line="217" w:lineRule="auto"/>
              <w:ind w:left="362"/>
            </w:pPr>
            <w:r>
              <w:rPr>
                <w:spacing w:val="-2"/>
              </w:rPr>
              <w:t>序 号</w:t>
            </w:r>
          </w:p>
        </w:tc>
        <w:tc>
          <w:tcPr>
            <w:tcW w:w="2238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0" w:lineRule="auto"/>
              <w:ind w:left="610"/>
            </w:pPr>
            <w:r>
              <w:rPr>
                <w:spacing w:val="3"/>
              </w:rPr>
              <w:t>项目名称</w:t>
            </w:r>
          </w:p>
        </w:tc>
        <w:tc>
          <w:tcPr>
            <w:tcW w:w="1169" w:type="dxa"/>
            <w:vAlign w:val="center"/>
          </w:tcPr>
          <w:p>
            <w:pPr>
              <w:pStyle w:val="6"/>
              <w:spacing w:before="82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3"/>
              </w:rPr>
              <w:t>招标单</w:t>
            </w:r>
            <w:r>
              <w:rPr>
                <w:rFonts w:hint="eastAsia"/>
                <w:spacing w:val="3"/>
                <w:lang w:val="en-US" w:eastAsia="zh-CN"/>
              </w:rPr>
              <w:t>位</w:t>
            </w:r>
          </w:p>
        </w:tc>
        <w:tc>
          <w:tcPr>
            <w:tcW w:w="2288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633"/>
            </w:pPr>
            <w:r>
              <w:rPr>
                <w:spacing w:val="2"/>
              </w:rPr>
              <w:t>项目概况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23" w:line="218" w:lineRule="auto"/>
              <w:ind w:left="175"/>
            </w:pPr>
            <w:r>
              <w:rPr>
                <w:spacing w:val="3"/>
              </w:rPr>
              <w:t>预估投</w:t>
            </w:r>
          </w:p>
          <w:p>
            <w:pPr>
              <w:pStyle w:val="6"/>
              <w:spacing w:before="48" w:line="221" w:lineRule="auto"/>
              <w:ind w:left="424"/>
            </w:pPr>
            <w:r>
              <w:t>资</w:t>
            </w:r>
          </w:p>
          <w:p>
            <w:pPr>
              <w:pStyle w:val="6"/>
              <w:spacing w:before="40" w:line="220" w:lineRule="auto"/>
              <w:ind w:left="175"/>
            </w:pPr>
            <w:r>
              <w:rPr>
                <w:spacing w:val="13"/>
              </w:rPr>
              <w:t>(万元)</w:t>
            </w:r>
          </w:p>
        </w:tc>
        <w:tc>
          <w:tcPr>
            <w:tcW w:w="120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7" w:lineRule="auto"/>
              <w:ind w:left="475" w:right="212" w:hanging="250"/>
            </w:pPr>
            <w:r>
              <w:rPr>
                <w:spacing w:val="3"/>
              </w:rPr>
              <w:t>资金来</w:t>
            </w:r>
            <w:r>
              <w:t xml:space="preserve"> 源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6"/>
              <w:spacing w:before="123" w:line="216" w:lineRule="auto"/>
              <w:ind w:left="41"/>
            </w:pPr>
            <w:r>
              <w:t>项</w:t>
            </w:r>
            <w:r>
              <w:rPr>
                <w:spacing w:val="-39"/>
              </w:rPr>
              <w:t xml:space="preserve"> </w:t>
            </w:r>
            <w:r>
              <w:t>目</w:t>
            </w:r>
            <w:r>
              <w:rPr>
                <w:spacing w:val="-39"/>
              </w:rPr>
              <w:t xml:space="preserve"> </w:t>
            </w:r>
            <w:r>
              <w:t>类</w:t>
            </w:r>
            <w:r>
              <w:rPr>
                <w:spacing w:val="-39"/>
              </w:rPr>
              <w:t xml:space="preserve"> </w:t>
            </w:r>
            <w:r>
              <w:t>别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pStyle w:val="6"/>
              <w:spacing w:before="182" w:line="217" w:lineRule="auto"/>
              <w:ind w:left="21"/>
            </w:pPr>
            <w:r>
              <w:t>招</w:t>
            </w:r>
            <w:r>
              <w:rPr>
                <w:spacing w:val="-25"/>
              </w:rPr>
              <w:t xml:space="preserve"> </w:t>
            </w:r>
            <w:r>
              <w:t>标</w:t>
            </w:r>
            <w:r>
              <w:rPr>
                <w:spacing w:val="-25"/>
              </w:rPr>
              <w:t xml:space="preserve"> </w:t>
            </w:r>
            <w:r>
              <w:t>方</w:t>
            </w:r>
            <w:r>
              <w:rPr>
                <w:spacing w:val="-25"/>
              </w:rPr>
              <w:t xml:space="preserve"> </w:t>
            </w:r>
            <w:r>
              <w:t>式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35" w:line="236" w:lineRule="auto"/>
              <w:ind w:left="177" w:right="117"/>
              <w:jc w:val="both"/>
            </w:pPr>
            <w:r>
              <w:rPr>
                <w:spacing w:val="9"/>
              </w:rPr>
              <w:t>计划</w:t>
            </w:r>
            <w:r>
              <w:t xml:space="preserve"> </w:t>
            </w:r>
            <w:r>
              <w:rPr>
                <w:spacing w:val="4"/>
              </w:rPr>
              <w:t>工程</w:t>
            </w:r>
            <w:r>
              <w:t xml:space="preserve"> </w:t>
            </w:r>
            <w:r>
              <w:rPr>
                <w:spacing w:val="18"/>
              </w:rPr>
              <w:t>(天)</w:t>
            </w:r>
          </w:p>
        </w:tc>
        <w:tc>
          <w:tcPr>
            <w:tcW w:w="15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7" w:lineRule="auto"/>
              <w:ind w:left="657" w:right="146" w:hanging="499"/>
            </w:pPr>
            <w:r>
              <w:rPr>
                <w:spacing w:val="2"/>
              </w:rPr>
              <w:t>预计招标时</w:t>
            </w:r>
            <w:r>
              <w:rPr>
                <w:spacing w:val="3"/>
              </w:rPr>
              <w:t xml:space="preserve"> </w:t>
            </w:r>
            <w:r>
              <w:t>间</w:t>
            </w:r>
          </w:p>
        </w:tc>
        <w:tc>
          <w:tcPr>
            <w:tcW w:w="163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6" w:lineRule="auto"/>
              <w:ind w:left="438" w:right="175" w:hanging="249"/>
            </w:pPr>
            <w:r>
              <w:rPr>
                <w:spacing w:val="1"/>
              </w:rPr>
              <w:t>联系人及联</w:t>
            </w:r>
            <w:r>
              <w:rPr>
                <w:spacing w:val="3"/>
              </w:rPr>
              <w:t xml:space="preserve"> 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575" w:type="dxa"/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4" w:lineRule="auto"/>
              <w:ind w:left="215"/>
              <w:jc w:val="center"/>
            </w:pPr>
            <w:r>
              <w:t>1</w:t>
            </w:r>
          </w:p>
        </w:tc>
        <w:tc>
          <w:tcPr>
            <w:tcW w:w="2238" w:type="dxa"/>
            <w:vAlign w:val="center"/>
          </w:tcPr>
          <w:p>
            <w:pPr>
              <w:pStyle w:val="6"/>
              <w:spacing w:before="253" w:line="219" w:lineRule="auto"/>
              <w:jc w:val="center"/>
            </w:pPr>
            <w:r>
              <w:rPr>
                <w:spacing w:val="1"/>
              </w:rPr>
              <w:t>南水北调中线工程水源地(南阳片区-</w:t>
            </w:r>
            <w:r>
              <w:rPr>
                <w:rFonts w:hint="eastAsia"/>
                <w:spacing w:val="1"/>
                <w:lang w:val="en-US" w:eastAsia="zh-CN"/>
              </w:rPr>
              <w:t>方城县</w:t>
            </w:r>
            <w:r>
              <w:rPr>
                <w:spacing w:val="1"/>
              </w:rPr>
              <w:t>)历史遗留废弃矿山生</w:t>
            </w:r>
            <w:r>
              <w:rPr>
                <w:spacing w:val="-2"/>
              </w:rPr>
              <w:t>态修复示范工程</w:t>
            </w:r>
            <w:r>
              <w:rPr>
                <w:spacing w:val="-7"/>
              </w:rPr>
              <w:t>项 目</w:t>
            </w:r>
          </w:p>
        </w:tc>
        <w:tc>
          <w:tcPr>
            <w:tcW w:w="1169" w:type="dxa"/>
            <w:vAlign w:val="center"/>
          </w:tcPr>
          <w:p>
            <w:pPr>
              <w:pStyle w:val="6"/>
              <w:spacing w:before="82" w:line="242" w:lineRule="auto"/>
              <w:ind w:right="188" w:firstLine="258" w:firstLineChars="10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spacing w:val="4"/>
                <w:lang w:val="en-US" w:eastAsia="zh-CN"/>
              </w:rPr>
              <w:t>方城县自然资源局</w:t>
            </w:r>
          </w:p>
        </w:tc>
        <w:tc>
          <w:tcPr>
            <w:tcW w:w="2288" w:type="dxa"/>
            <w:vAlign w:val="center"/>
          </w:tcPr>
          <w:p>
            <w:pPr>
              <w:spacing w:line="33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33" w:firstLine="500" w:firstLineChars="200"/>
              <w:jc w:val="center"/>
            </w:pPr>
            <w:r>
              <w:t>拟修复图斑</w:t>
            </w:r>
            <w:r>
              <w:rPr>
                <w:rFonts w:hint="eastAsia"/>
                <w:lang w:val="en-US" w:eastAsia="zh-CN"/>
              </w:rPr>
              <w:t>83</w:t>
            </w:r>
            <w:r>
              <w:t>个，</w:t>
            </w:r>
            <w:r>
              <w:rPr>
                <w:spacing w:val="1"/>
              </w:rPr>
              <w:t>治理面积</w:t>
            </w:r>
            <w:r>
              <w:rPr>
                <w:rFonts w:hint="eastAsia"/>
                <w:spacing w:val="1"/>
                <w:lang w:val="en-US" w:eastAsia="zh-CN"/>
              </w:rPr>
              <w:t>141.53</w:t>
            </w:r>
            <w:r>
              <w:rPr>
                <w:spacing w:val="1"/>
              </w:rPr>
              <w:t>公顷，主要采取辅助</w:t>
            </w:r>
            <w:r>
              <w:rPr>
                <w:spacing w:val="6"/>
              </w:rPr>
              <w:t xml:space="preserve"> 再生或生态重建为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主的保护修复技术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模式进行修复。</w:t>
            </w:r>
          </w:p>
        </w:tc>
        <w:tc>
          <w:tcPr>
            <w:tcW w:w="1109" w:type="dxa"/>
            <w:vAlign w:val="center"/>
          </w:tcPr>
          <w:p>
            <w:pPr>
              <w:pStyle w:val="6"/>
              <w:spacing w:before="81" w:line="183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5600 </w:t>
            </w:r>
          </w:p>
        </w:tc>
        <w:tc>
          <w:tcPr>
            <w:tcW w:w="1209" w:type="dxa"/>
            <w:vAlign w:val="center"/>
          </w:tcPr>
          <w:p>
            <w:pPr>
              <w:spacing w:line="282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中央、省、县配套资金及社会资金</w:t>
            </w:r>
          </w:p>
          <w:p>
            <w:pPr>
              <w:pStyle w:val="6"/>
              <w:spacing w:before="23" w:line="232" w:lineRule="auto"/>
              <w:ind w:left="345" w:right="231" w:hanging="12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60" w:type="dxa"/>
            <w:textDirection w:val="tbRlV"/>
            <w:vAlign w:val="center"/>
          </w:tcPr>
          <w:p>
            <w:pPr>
              <w:pStyle w:val="6"/>
              <w:spacing w:before="133" w:line="216" w:lineRule="auto"/>
              <w:ind w:left="860"/>
              <w:jc w:val="both"/>
            </w:pPr>
            <w:r>
              <w:t>工</w:t>
            </w:r>
            <w:r>
              <w:rPr>
                <w:spacing w:val="-22"/>
              </w:rPr>
              <w:t xml:space="preserve"> </w:t>
            </w:r>
            <w:r>
              <w:t>程</w:t>
            </w:r>
            <w:r>
              <w:rPr>
                <w:spacing w:val="-22"/>
              </w:rPr>
              <w:t xml:space="preserve"> </w:t>
            </w:r>
            <w:r>
              <w:t>类</w:t>
            </w:r>
          </w:p>
        </w:tc>
        <w:tc>
          <w:tcPr>
            <w:tcW w:w="570" w:type="dxa"/>
            <w:textDirection w:val="tbRlV"/>
            <w:vAlign w:val="center"/>
          </w:tcPr>
          <w:p>
            <w:pPr>
              <w:pStyle w:val="6"/>
              <w:spacing w:before="132" w:line="217" w:lineRule="auto"/>
              <w:ind w:left="718"/>
              <w:jc w:val="both"/>
            </w:pPr>
            <w:r>
              <w:t>公</w:t>
            </w:r>
            <w:r>
              <w:rPr>
                <w:spacing w:val="-39"/>
              </w:rPr>
              <w:t xml:space="preserve"> </w:t>
            </w:r>
            <w:r>
              <w:t>开</w:t>
            </w:r>
            <w:r>
              <w:rPr>
                <w:spacing w:val="-39"/>
              </w:rPr>
              <w:t xml:space="preserve"> </w:t>
            </w:r>
            <w:r>
              <w:t>招</w:t>
            </w:r>
            <w:r>
              <w:rPr>
                <w:spacing w:val="-38"/>
              </w:rPr>
              <w:t xml:space="preserve"> </w:t>
            </w:r>
            <w:r>
              <w:t>标</w:t>
            </w:r>
          </w:p>
        </w:tc>
        <w:tc>
          <w:tcPr>
            <w:tcW w:w="859" w:type="dxa"/>
            <w:vAlign w:val="center"/>
          </w:tcPr>
          <w:p>
            <w:pPr>
              <w:pStyle w:val="6"/>
              <w:spacing w:before="81" w:line="182" w:lineRule="auto"/>
              <w:jc w:val="both"/>
            </w:pPr>
            <w:r>
              <w:rPr>
                <w:spacing w:val="-4"/>
              </w:rPr>
              <w:t>360</w:t>
            </w:r>
            <w:r>
              <w:t>天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82" w:line="184" w:lineRule="auto"/>
              <w:ind w:firstLine="246" w:firstLineChars="100"/>
              <w:jc w:val="both"/>
            </w:pPr>
            <w:r>
              <w:rPr>
                <w:spacing w:val="-2"/>
              </w:rPr>
              <w:t>2024.03.01</w:t>
            </w:r>
          </w:p>
        </w:tc>
        <w:tc>
          <w:tcPr>
            <w:tcW w:w="1634" w:type="dxa"/>
            <w:vAlign w:val="center"/>
          </w:tcPr>
          <w:p>
            <w:pPr>
              <w:pStyle w:val="6"/>
              <w:spacing w:before="81" w:line="219" w:lineRule="auto"/>
              <w:ind w:firstLine="50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赵先生</w:t>
            </w:r>
          </w:p>
          <w:p>
            <w:pPr>
              <w:pStyle w:val="6"/>
              <w:spacing w:before="81" w:line="219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13409270888</w:t>
            </w:r>
          </w:p>
        </w:tc>
      </w:tr>
    </w:tbl>
    <w:p>
      <w:pPr>
        <w:spacing w:before="43" w:line="219" w:lineRule="auto"/>
        <w:ind w:left="1510"/>
        <w:rPr>
          <w:rFonts w:ascii="宋体" w:hAnsi="宋体" w:eastAsia="宋体" w:cs="宋体"/>
          <w:sz w:val="25"/>
          <w:szCs w:val="25"/>
        </w:rPr>
      </w:pPr>
    </w:p>
    <w:p>
      <w:pPr>
        <w:spacing w:before="43" w:line="219" w:lineRule="auto"/>
        <w:ind w:left="1510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本招标计划是本单位招标工作的初步安排，发布内容仅作为潜在投标人提前了解招标活动安排的参考，具体</w:t>
      </w:r>
    </w:p>
    <w:p>
      <w:pPr>
        <w:pStyle w:val="2"/>
        <w:spacing w:before="33" w:line="222" w:lineRule="auto"/>
        <w:ind w:left="98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17"/>
          <w:sz w:val="24"/>
          <w:szCs w:val="24"/>
        </w:rPr>
        <w:t>招标项目情况以项目招标公告和招标文件为准。</w:t>
      </w:r>
    </w:p>
    <w:p>
      <w:pPr>
        <w:spacing w:line="348" w:lineRule="auto"/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pStyle w:val="2"/>
        <w:spacing w:before="79" w:line="260" w:lineRule="auto"/>
        <w:ind w:left="11230" w:right="594" w:hanging="1590"/>
        <w:jc w:val="right"/>
        <w:rPr>
          <w:rFonts w:hint="eastAsia" w:asciiTheme="majorEastAsia" w:hAnsiTheme="majorEastAsia" w:eastAsiaTheme="majorEastAsia" w:cstheme="majorEastAsia"/>
          <w:spacing w:val="9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18"/>
          <w:sz w:val="24"/>
          <w:szCs w:val="24"/>
        </w:rPr>
        <w:t>招标人：</w:t>
      </w:r>
      <w:r>
        <w:rPr>
          <w:rFonts w:hint="eastAsia" w:asciiTheme="majorEastAsia" w:hAnsiTheme="majorEastAsia" w:eastAsiaTheme="majorEastAsia" w:cstheme="majorEastAsia"/>
          <w:spacing w:val="18"/>
          <w:sz w:val="24"/>
          <w:szCs w:val="24"/>
          <w:lang w:val="en-US" w:eastAsia="zh-CN"/>
        </w:rPr>
        <w:t>方城县</w:t>
      </w:r>
      <w:r>
        <w:rPr>
          <w:rFonts w:hint="eastAsia" w:asciiTheme="majorEastAsia" w:hAnsiTheme="majorEastAsia" w:eastAsiaTheme="majorEastAsia" w:cstheme="majorEastAsia"/>
          <w:spacing w:val="18"/>
          <w:sz w:val="24"/>
          <w:szCs w:val="24"/>
        </w:rPr>
        <w:t>自然资源局</w:t>
      </w:r>
      <w:r>
        <w:rPr>
          <w:rFonts w:hint="eastAsia" w:asciiTheme="majorEastAsia" w:hAnsiTheme="majorEastAsia" w:eastAsiaTheme="majorEastAsia" w:cstheme="majorEastAsia"/>
          <w:spacing w:val="9"/>
          <w:sz w:val="24"/>
          <w:szCs w:val="24"/>
        </w:rPr>
        <w:t xml:space="preserve"> </w:t>
      </w:r>
    </w:p>
    <w:p>
      <w:pPr>
        <w:pStyle w:val="2"/>
        <w:spacing w:before="79" w:line="260" w:lineRule="auto"/>
        <w:ind w:left="11230" w:right="594" w:hanging="1590"/>
        <w:jc w:val="center"/>
        <w:rPr>
          <w:rFonts w:hint="eastAsia" w:asciiTheme="majorEastAsia" w:hAnsiTheme="majorEastAsia" w:eastAsiaTheme="majorEastAsia" w:cstheme="majorEastAsia"/>
          <w:spacing w:val="-16"/>
        </w:rPr>
      </w:pPr>
      <w:r>
        <w:rPr>
          <w:rFonts w:hint="eastAsia" w:asciiTheme="majorEastAsia" w:hAnsiTheme="majorEastAsia" w:eastAsiaTheme="majorEastAsia" w:cstheme="majorEastAsia"/>
          <w:spacing w:val="-16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pacing w:val="-16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6"/>
          <w:sz w:val="24"/>
          <w:szCs w:val="24"/>
        </w:rPr>
        <w:t>2 0 2</w:t>
      </w:r>
      <w:r>
        <w:rPr>
          <w:rFonts w:hint="eastAsia" w:asciiTheme="majorEastAsia" w:hAnsiTheme="majorEastAsia" w:eastAsiaTheme="majorEastAsia" w:cstheme="majorEastAsia"/>
          <w:spacing w:val="-6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6"/>
          <w:sz w:val="24"/>
          <w:szCs w:val="24"/>
        </w:rPr>
        <w:t>3</w:t>
      </w:r>
      <w:r>
        <w:rPr>
          <w:rFonts w:hint="eastAsia" w:asciiTheme="majorEastAsia" w:hAnsiTheme="majorEastAsia" w:eastAsiaTheme="majorEastAsia" w:cstheme="majorEastAsia"/>
          <w:spacing w:val="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6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pacing w:val="6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6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pacing w:val="-7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6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pacing w:val="7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6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pacing w:val="-7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6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pacing w:val="-8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8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pacing w:val="4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6"/>
          <w:sz w:val="24"/>
          <w:szCs w:val="24"/>
        </w:rPr>
        <w:t>日</w:t>
      </w:r>
    </w:p>
    <w:bookmarkEnd w:id="0"/>
    <w:p>
      <w:pPr>
        <w:bidi w:val="0"/>
        <w:rPr>
          <w:rFonts w:hint="eastAsia" w:asciiTheme="majorEastAsia" w:hAnsiTheme="majorEastAsia" w:eastAsiaTheme="majorEastAsia" w:cstheme="majorEastAsia"/>
        </w:rPr>
      </w:pPr>
    </w:p>
    <w:p>
      <w:pPr>
        <w:bidi w:val="0"/>
        <w:rPr>
          <w:rFonts w:hint="eastAsia" w:asciiTheme="majorEastAsia" w:hAnsiTheme="majorEastAsia" w:eastAsiaTheme="majorEastAsia" w:cstheme="majorEastAsia"/>
        </w:rPr>
      </w:pPr>
    </w:p>
    <w:p>
      <w:pPr>
        <w:bidi w:val="0"/>
        <w:rPr>
          <w:rFonts w:hint="eastAsia" w:asciiTheme="majorEastAsia" w:hAnsiTheme="majorEastAsia" w:eastAsiaTheme="majorEastAsia" w:cstheme="majorEastAsia"/>
        </w:rPr>
      </w:pPr>
    </w:p>
    <w:p>
      <w:pPr>
        <w:tabs>
          <w:tab w:val="left" w:pos="12571"/>
        </w:tabs>
        <w:bidi w:val="0"/>
        <w:jc w:val="left"/>
        <w:rPr>
          <w:rFonts w:hint="eastAsia" w:eastAsia="宋体"/>
          <w:lang w:eastAsia="zh-CN"/>
        </w:rPr>
      </w:pPr>
    </w:p>
    <w:sectPr>
      <w:pgSz w:w="16840" w:h="11910"/>
      <w:pgMar w:top="1012" w:right="1574" w:bottom="0" w:left="10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EzNGExNmZkNzg0OTNmYzlhMDQwZWIyOTFkZTc0OWMifQ=="/>
  </w:docVars>
  <w:rsids>
    <w:rsidRoot w:val="00000000"/>
    <w:rsid w:val="0FA364D6"/>
    <w:rsid w:val="19D04345"/>
    <w:rsid w:val="320578A8"/>
    <w:rsid w:val="36CE7BF8"/>
    <w:rsid w:val="4D021439"/>
    <w:rsid w:val="76192313"/>
    <w:rsid w:val="77EE6736"/>
    <w:rsid w:val="7D016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2023-12-28T15:14:00Z</dcterms:created>
  <dc:creator>Kingsoft-PDF</dc:creator>
  <cp:lastModifiedBy>贾振磊</cp:lastModifiedBy>
  <cp:lastPrinted>2023-12-28T08:02:00Z</cp:lastPrinted>
  <dcterms:modified xsi:type="dcterms:W3CDTF">2023-12-29T09:08:01Z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2023-12-28T15:14:24Z</vt:filetime>
  </property>
  <property fmtid="{D5CDD505-2E9C-101B-9397-08002B2CF9AE}" pid="4" name="UsrData">
    <vt:lpwstr>658d204df23622001f654198wl</vt:lpwstr>
  </property>
  <property fmtid="{D5CDD505-2E9C-101B-9397-08002B2CF9AE}" pid="5" name="KSOProductBuildVer">
    <vt:lpwstr>2052-12.1.0.16120</vt:lpwstr>
  </property>
  <property fmtid="{D5CDD505-2E9C-101B-9397-08002B2CF9AE}" pid="6" name="ICV">
    <vt:lpwstr>988EDB523E9D406889AF56F3AEE87A5E_13</vt:lpwstr>
  </property>
</Properties>
</file>